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58C3" w14:textId="0E0587DE" w:rsidR="0061157D" w:rsidRPr="00F7380D" w:rsidRDefault="00C00B0D" w:rsidP="00F7380D">
      <w:pPr>
        <w:jc w:val="center"/>
      </w:pPr>
      <w:r w:rsidRPr="00705B19">
        <w:rPr>
          <w:rFonts w:ascii="Arial" w:eastAsiaTheme="minorHAnsi" w:hAnsi="Arial" w:cs="Arial"/>
          <w:bCs/>
          <w:noProof/>
          <w:sz w:val="16"/>
          <w:szCs w:val="16"/>
          <w:lang w:eastAsia="en-US"/>
        </w:rPr>
        <mc:AlternateContent>
          <mc:Choice Requires="wps">
            <w:drawing>
              <wp:inline distT="0" distB="0" distL="0" distR="0" wp14:anchorId="36CDCDC3" wp14:editId="4B002A60">
                <wp:extent cx="2377440" cy="282575"/>
                <wp:effectExtent l="0" t="0" r="22860" b="222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1D30" w14:textId="28149473" w:rsidR="00C00B0D" w:rsidRPr="003B7F3E" w:rsidRDefault="00C00B0D" w:rsidP="00C00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Prescribing Tip </w:t>
                            </w:r>
                            <w:r w:rsidR="00824F93"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4F9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CDC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7.2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" fillcolor="#8eaadb [1940]" strokecolor="#1f3763 [1604]" strokeweight="1.25pt">
                <v:textbox>
                  <w:txbxContent>
                    <w:p w14:paraId="2D4D1D30" w14:textId="28149473" w:rsidR="00C00B0D" w:rsidRPr="003B7F3E" w:rsidRDefault="00C00B0D" w:rsidP="00C00B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Prescribing Tip </w:t>
                      </w:r>
                      <w:r w:rsidR="00824F93"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24F9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47B82" w14:textId="39BE99AC" w:rsidR="00F21836" w:rsidRPr="00FA1284" w:rsidRDefault="00F21836" w:rsidP="00F21836">
      <w:pPr>
        <w:jc w:val="center"/>
        <w:rPr>
          <w:rFonts w:asciiTheme="minorHAnsi" w:eastAsiaTheme="minorEastAsia" w:hAnsiTheme="minorHAnsi" w:cstheme="minorHAnsi"/>
          <w:b/>
          <w:bCs/>
          <w:color w:val="2F5496" w:themeColor="accent1" w:themeShade="BF"/>
          <w:u w:val="single"/>
          <w:lang w:eastAsia="en-US"/>
        </w:rPr>
      </w:pPr>
      <w:r w:rsidRPr="00FA1284">
        <w:rPr>
          <w:rFonts w:asciiTheme="minorHAnsi" w:eastAsiaTheme="minorEastAsia" w:hAnsiTheme="minorHAnsi" w:cstheme="minorHAnsi"/>
          <w:b/>
          <w:bCs/>
          <w:color w:val="2F5496" w:themeColor="accent1" w:themeShade="BF"/>
          <w:u w:val="single"/>
          <w:lang w:eastAsia="en-US"/>
        </w:rPr>
        <w:t xml:space="preserve">World Antimicrobial </w:t>
      </w:r>
      <w:r w:rsidR="00CB3F6B" w:rsidRPr="00FA1284">
        <w:rPr>
          <w:rFonts w:asciiTheme="minorHAnsi" w:eastAsiaTheme="minorEastAsia" w:hAnsiTheme="minorHAnsi" w:cstheme="minorHAnsi"/>
          <w:b/>
          <w:bCs/>
          <w:color w:val="2F5496" w:themeColor="accent1" w:themeShade="BF"/>
          <w:u w:val="single"/>
          <w:lang w:eastAsia="en-US"/>
        </w:rPr>
        <w:t>R</w:t>
      </w:r>
      <w:r w:rsidRPr="00FA1284">
        <w:rPr>
          <w:rFonts w:asciiTheme="minorHAnsi" w:eastAsiaTheme="minorEastAsia" w:hAnsiTheme="minorHAnsi" w:cstheme="minorHAnsi"/>
          <w:b/>
          <w:bCs/>
          <w:color w:val="2F5496" w:themeColor="accent1" w:themeShade="BF"/>
          <w:u w:val="single"/>
          <w:lang w:eastAsia="en-US"/>
        </w:rPr>
        <w:t>esistance Awareness Week 18</w:t>
      </w:r>
      <w:r w:rsidRPr="00FA1284">
        <w:rPr>
          <w:rFonts w:asciiTheme="minorHAnsi" w:eastAsiaTheme="minorEastAsia" w:hAnsiTheme="minorHAnsi" w:cstheme="minorHAnsi"/>
          <w:b/>
          <w:bCs/>
          <w:color w:val="2F5496" w:themeColor="accent1" w:themeShade="BF"/>
          <w:u w:val="single"/>
          <w:vertAlign w:val="superscript"/>
          <w:lang w:eastAsia="en-US"/>
        </w:rPr>
        <w:t>th</w:t>
      </w:r>
      <w:r w:rsidRPr="00FA1284">
        <w:rPr>
          <w:rFonts w:asciiTheme="minorHAnsi" w:eastAsiaTheme="minorEastAsia" w:hAnsiTheme="minorHAnsi" w:cstheme="minorHAnsi"/>
          <w:b/>
          <w:bCs/>
          <w:color w:val="2F5496" w:themeColor="accent1" w:themeShade="BF"/>
          <w:u w:val="single"/>
          <w:lang w:eastAsia="en-US"/>
        </w:rPr>
        <w:t xml:space="preserve"> – 24</w:t>
      </w:r>
      <w:r w:rsidRPr="00FA1284">
        <w:rPr>
          <w:rFonts w:asciiTheme="minorHAnsi" w:eastAsiaTheme="minorEastAsia" w:hAnsiTheme="minorHAnsi" w:cstheme="minorHAnsi"/>
          <w:b/>
          <w:bCs/>
          <w:color w:val="2F5496" w:themeColor="accent1" w:themeShade="BF"/>
          <w:u w:val="single"/>
          <w:vertAlign w:val="superscript"/>
          <w:lang w:eastAsia="en-US"/>
        </w:rPr>
        <w:t>th</w:t>
      </w:r>
      <w:r w:rsidRPr="00FA1284">
        <w:rPr>
          <w:rFonts w:asciiTheme="minorHAnsi" w:eastAsiaTheme="minorEastAsia" w:hAnsiTheme="minorHAnsi" w:cstheme="minorHAnsi"/>
          <w:b/>
          <w:bCs/>
          <w:color w:val="2F5496" w:themeColor="accent1" w:themeShade="BF"/>
          <w:u w:val="single"/>
          <w:lang w:eastAsia="en-US"/>
        </w:rPr>
        <w:t xml:space="preserve"> November 2023</w:t>
      </w:r>
    </w:p>
    <w:p w14:paraId="70EB0ADD" w14:textId="17D5AAA1" w:rsidR="00F21836" w:rsidRDefault="00F21836" w:rsidP="5CA15469">
      <w:pPr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  <w:u w:val="single"/>
          <w:lang w:eastAsia="en-US"/>
        </w:rPr>
      </w:pPr>
      <w:r>
        <w:rPr>
          <w:noProof/>
        </w:rPr>
        <w:drawing>
          <wp:inline distT="0" distB="0" distL="0" distR="0" wp14:anchorId="7AFF9BE1" wp14:editId="388FB640">
            <wp:extent cx="4597400" cy="1290955"/>
            <wp:effectExtent l="0" t="0" r="0" b="4445"/>
            <wp:docPr id="2" name="Picture 2" descr="A blue and white sign&#10;Preventing antimicrobial resistance together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sign&#10;Preventing antimicrobial resistance together&#10;&#10;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032" cy="130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E2A87" w14:textId="05A2CC06" w:rsidR="00D63E04" w:rsidRPr="00800AE9" w:rsidRDefault="00D63E04" w:rsidP="00D63E04">
      <w:pPr>
        <w:pStyle w:val="NoSpacing"/>
        <w:jc w:val="both"/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</w:pPr>
      <w:r w:rsidRPr="00800AE9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  <w:lang w:val="en"/>
        </w:rPr>
        <w:t>This week</w:t>
      </w:r>
      <w:r w:rsidR="00D93E57" w:rsidRPr="00800AE9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  <w:lang w:val="en"/>
        </w:rPr>
        <w:t xml:space="preserve">, </w:t>
      </w:r>
      <w:r w:rsidRPr="00800AE9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  <w:lang w:val="en"/>
        </w:rPr>
        <w:t>18</w:t>
      </w:r>
      <w:r w:rsidRPr="00800AE9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  <w:vertAlign w:val="superscript"/>
          <w:lang w:val="en"/>
        </w:rPr>
        <w:t>th</w:t>
      </w:r>
      <w:r w:rsidRPr="00800AE9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  <w:lang w:val="en"/>
        </w:rPr>
        <w:t> – 24</w:t>
      </w:r>
      <w:r w:rsidRPr="00800AE9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  <w:vertAlign w:val="superscript"/>
          <w:lang w:val="en"/>
        </w:rPr>
        <w:t>th</w:t>
      </w:r>
      <w:r w:rsidRPr="00800AE9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  <w:lang w:val="en"/>
        </w:rPr>
        <w:t> November 2023</w:t>
      </w:r>
      <w:r w:rsidR="00D93E57" w:rsidRPr="00800AE9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  <w:lang w:val="en"/>
        </w:rPr>
        <w:t xml:space="preserve"> </w:t>
      </w:r>
      <w:r w:rsidRPr="00800AE9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  <w:lang w:val="en"/>
        </w:rPr>
        <w:t xml:space="preserve">marks the launch of the 2023 World Antimicrobial Resistance Awareness Week (WAAW). This annual campaign, led by the World Health Organisation (WHO), aims to increase awareness of global antimicrobial resistance </w:t>
      </w:r>
      <w:r w:rsidR="00D93E57" w:rsidRPr="00800AE9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  <w:lang w:val="en"/>
        </w:rPr>
        <w:t xml:space="preserve">(AMR) </w:t>
      </w:r>
      <w:r w:rsidRPr="00800AE9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  <w:lang w:val="en"/>
        </w:rPr>
        <w:t xml:space="preserve">and to encourage best practices among the </w:t>
      </w:r>
      <w:proofErr w:type="gramStart"/>
      <w:r w:rsidRPr="00800AE9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  <w:lang w:val="en"/>
        </w:rPr>
        <w:t>general public</w:t>
      </w:r>
      <w:proofErr w:type="gramEnd"/>
      <w:r w:rsidRPr="00800AE9">
        <w:rPr>
          <w:rStyle w:val="normaltextrun"/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  <w:lang w:val="en"/>
        </w:rPr>
        <w:t>, health workers and policy makers to avoid the further emergence and spread of drug-resistant infections.</w:t>
      </w:r>
      <w:r w:rsidRPr="00800AE9">
        <w:rPr>
          <w:rStyle w:val="eop"/>
          <w:rFonts w:asciiTheme="minorHAnsi" w:eastAsiaTheme="majorEastAsia" w:hAnsiTheme="minorHAnsi" w:cstheme="minorHAnsi"/>
          <w:b/>
          <w:bCs/>
          <w:color w:val="1F3864" w:themeColor="accent1" w:themeShade="80"/>
          <w:sz w:val="22"/>
          <w:szCs w:val="22"/>
          <w:shd w:val="clear" w:color="auto" w:fill="FFFFFF"/>
        </w:rPr>
        <w:t> </w:t>
      </w:r>
      <w:r w:rsidRPr="00800AE9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</w:rPr>
        <w:t>The WHO’s 2023 campaign theme for WAAW is ‘Preventing antimicrobial resistance together’, highlighting that fighting AMR is a global endeavour.</w:t>
      </w:r>
    </w:p>
    <w:p w14:paraId="623F4E19" w14:textId="77777777" w:rsidR="00277998" w:rsidRDefault="00277998" w:rsidP="00D63E04">
      <w:pPr>
        <w:pStyle w:val="NoSpacing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</w:p>
    <w:p w14:paraId="34474B12" w14:textId="674EDEFA" w:rsidR="000C644F" w:rsidRPr="00631522" w:rsidRDefault="000C644F" w:rsidP="000C644F">
      <w:pPr>
        <w:pStyle w:val="NoSpacing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  <w:shd w:val="clear" w:color="auto" w:fill="FFFFFF"/>
        </w:rPr>
      </w:pPr>
      <w:r w:rsidRPr="006315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In 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p</w:t>
      </w:r>
      <w:r w:rsidRPr="006315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rimary 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c</w:t>
      </w:r>
      <w:r w:rsidRPr="006315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are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,</w:t>
      </w:r>
      <w:r w:rsidRPr="006315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 the </w:t>
      </w:r>
      <w:r w:rsidRPr="00800AE9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Northwest region has the </w:t>
      </w:r>
      <w:r w:rsidR="0030268F" w:rsidRPr="00800AE9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second </w:t>
      </w:r>
      <w:r w:rsidRPr="00800AE9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highest volume of antibiotic prescribing</w:t>
      </w:r>
      <w:r w:rsidRPr="000C644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6315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compared to </w:t>
      </w:r>
      <w:r w:rsidR="00213C61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all </w:t>
      </w:r>
      <w:r w:rsidRPr="006315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other regio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n</w:t>
      </w:r>
      <w:r w:rsidR="00213C61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s</w:t>
      </w:r>
      <w:r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 in England</w:t>
      </w:r>
      <w:r w:rsidRPr="006315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. In </w:t>
      </w:r>
      <w:r w:rsidR="00337571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Lancashire and South Cumbria ICB</w:t>
      </w:r>
      <w:r w:rsidRPr="006315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, the volume of antibiotic prescribing </w:t>
      </w:r>
      <w:r w:rsidR="00CB3F6B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>over the past 12 months was higher than previous 12months</w:t>
      </w:r>
      <w:r w:rsidRPr="00631522">
        <w:rPr>
          <w:rFonts w:asciiTheme="minorHAnsi" w:hAnsiTheme="minorHAnsi" w:cstheme="minorHAnsi"/>
          <w:color w:val="1F3864" w:themeColor="accent1" w:themeShade="80"/>
          <w:sz w:val="22"/>
          <w:szCs w:val="22"/>
        </w:rPr>
        <w:t xml:space="preserve">. </w:t>
      </w:r>
      <w:r w:rsidRPr="00631522">
        <w:rPr>
          <w:rFonts w:asciiTheme="minorHAnsi" w:hAnsiTheme="minorHAnsi" w:cstheme="minorHAnsi"/>
          <w:color w:val="1F3864" w:themeColor="accent1" w:themeShade="80"/>
          <w:sz w:val="16"/>
          <w:szCs w:val="16"/>
        </w:rPr>
        <w:t>(data source: epact2 dashboard)</w:t>
      </w:r>
    </w:p>
    <w:p w14:paraId="5C012DCF" w14:textId="370C38E5" w:rsidR="000C644F" w:rsidRPr="00631522" w:rsidRDefault="00800AE9" w:rsidP="00D63E04">
      <w:pPr>
        <w:pStyle w:val="NoSpacing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</w:rPr>
      </w:pPr>
      <w:r>
        <w:rPr>
          <w:rFonts w:asciiTheme="minorHAnsi" w:hAnsiTheme="minorHAnsi" w:cstheme="minorHAnsi"/>
          <w:noProof/>
          <w:color w:val="1F3864" w:themeColor="accent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F7A7C" wp14:editId="12A18426">
                <wp:simplePos x="0" y="0"/>
                <wp:positionH relativeFrom="column">
                  <wp:posOffset>82550</wp:posOffset>
                </wp:positionH>
                <wp:positionV relativeFrom="paragraph">
                  <wp:posOffset>158115</wp:posOffset>
                </wp:positionV>
                <wp:extent cx="6165850" cy="3232150"/>
                <wp:effectExtent l="38100" t="95250" r="120650" b="63500"/>
                <wp:wrapNone/>
                <wp:docPr id="1299041550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3232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DD027" id="Rectangle 3" o:spid="_x0000_s1026" alt="&quot;&quot;" style="position:absolute;margin-left:6.5pt;margin-top:12.45pt;width:485.5pt;height:2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" filled="f" strokecolor="#002060" strokeweight="1.5pt">
                <v:shadow on="t" color="black" opacity="26214f" origin="-.5,.5" offset=".74836mm,-.74836mm"/>
              </v:rect>
            </w:pict>
          </mc:Fallback>
        </mc:AlternateContent>
      </w:r>
    </w:p>
    <w:p w14:paraId="1E908A8D" w14:textId="77777777" w:rsidR="00CB3F6B" w:rsidRPr="00800AE9" w:rsidRDefault="00CB3F6B" w:rsidP="00CB3F6B">
      <w:pPr>
        <w:pStyle w:val="NoSpacing"/>
        <w:jc w:val="center"/>
        <w:rPr>
          <w:rFonts w:asciiTheme="minorHAnsi" w:hAnsiTheme="minorHAnsi" w:cstheme="minorHAnsi"/>
          <w:b/>
          <w:bCs/>
          <w:color w:val="2F5496" w:themeColor="accent1" w:themeShade="BF"/>
        </w:rPr>
      </w:pPr>
      <w:r w:rsidRPr="00800AE9">
        <w:rPr>
          <w:rFonts w:asciiTheme="minorHAnsi" w:hAnsiTheme="minorHAnsi" w:cstheme="minorHAnsi"/>
          <w:b/>
          <w:bCs/>
          <w:color w:val="2F5496" w:themeColor="accent1" w:themeShade="BF"/>
        </w:rPr>
        <w:t>Antimicrobial Stewardship Messages for Healthcare Professionals:</w:t>
      </w:r>
    </w:p>
    <w:p w14:paraId="42F75CD2" w14:textId="77777777" w:rsidR="00FA1284" w:rsidRPr="00FA1284" w:rsidRDefault="00FA1284" w:rsidP="00CB3F6B">
      <w:pPr>
        <w:pStyle w:val="NoSpacing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A1FF61A" w14:textId="5E9E8832" w:rsidR="00CB3F6B" w:rsidRPr="00FA1284" w:rsidRDefault="00FA1284" w:rsidP="00FA1284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800AE9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</w:rPr>
        <w:t xml:space="preserve">Ensure treatment is in line with antimicrobial prescribing guidelines: </w:t>
      </w:r>
      <w:hyperlink r:id="rId12" w:history="1">
        <w:r w:rsidRPr="00F7380D">
          <w:rPr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NICE/UKHSA Antimicrobial Prescribing Guidance for Managing Common Infections</w:t>
        </w:r>
      </w:hyperlink>
      <w:r w:rsidRPr="00F7380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3D274028" w14:textId="1A4E0724" w:rsidR="00F04BC9" w:rsidRPr="00F04BC9" w:rsidRDefault="00A12749" w:rsidP="00CB3F6B">
      <w:pPr>
        <w:pStyle w:val="NoSpacing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B3F6B">
        <w:rPr>
          <w:rFonts w:asciiTheme="minorHAnsi" w:hAnsiTheme="minorHAnsi" w:cstheme="minorHAnsi"/>
          <w:color w:val="0B0C0C"/>
          <w:sz w:val="22"/>
          <w:szCs w:val="22"/>
        </w:rPr>
        <w:t xml:space="preserve">As the COVID-19 pandemic and recent outbreaks have highlighted, management of viral infection remains an important challenge for healthcare professionals and can have an adverse impact on the use of </w:t>
      </w:r>
      <w:r w:rsidR="00AF1DCA" w:rsidRPr="00CB3F6B">
        <w:rPr>
          <w:rFonts w:asciiTheme="minorHAnsi" w:hAnsiTheme="minorHAnsi" w:cstheme="minorHAnsi"/>
          <w:color w:val="0B0C0C"/>
          <w:sz w:val="22"/>
          <w:szCs w:val="22"/>
        </w:rPr>
        <w:t>antibiotics.</w:t>
      </w:r>
      <w:r w:rsidR="00AF1DCA">
        <w:rPr>
          <w:rFonts w:asciiTheme="minorHAnsi" w:hAnsiTheme="minorHAnsi" w:cstheme="minorHAnsi"/>
          <w:color w:val="0B0C0C"/>
          <w:sz w:val="22"/>
          <w:szCs w:val="22"/>
          <w:vertAlign w:val="subscript"/>
        </w:rPr>
        <w:t xml:space="preserve"> (1)</w:t>
      </w:r>
    </w:p>
    <w:p w14:paraId="40AF6379" w14:textId="6B500296" w:rsidR="00CB3F6B" w:rsidRPr="00F7380D" w:rsidRDefault="00CB3F6B" w:rsidP="00F7380D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rPr>
          <w:rFonts w:ascii="Arial" w:hAnsi="Arial" w:cs="Arial"/>
          <w:color w:val="0B0C0C"/>
        </w:rPr>
      </w:pPr>
      <w:r w:rsidRPr="00F7380D">
        <w:rPr>
          <w:rFonts w:asciiTheme="minorHAnsi" w:hAnsiTheme="minorHAnsi" w:cstheme="minorHAnsi"/>
          <w:color w:val="000000"/>
          <w:sz w:val="22"/>
          <w:szCs w:val="22"/>
        </w:rPr>
        <w:t xml:space="preserve">To avoid inappropriate antibiotic prescribing in the context of COVID and other viral infections, it is recommended to follow </w:t>
      </w:r>
      <w:hyperlink r:id="rId13" w:history="1">
        <w:r w:rsidRPr="00F7380D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current NICE guidelines</w:t>
        </w:r>
      </w:hyperlink>
      <w:r w:rsidRPr="00F7380D">
        <w:rPr>
          <w:rFonts w:asciiTheme="minorHAnsi" w:hAnsiTheme="minorHAnsi" w:cstheme="minorHAnsi"/>
          <w:sz w:val="22"/>
          <w:szCs w:val="22"/>
        </w:rPr>
        <w:t xml:space="preserve"> </w:t>
      </w:r>
      <w:r w:rsidRPr="00F7380D">
        <w:rPr>
          <w:rFonts w:asciiTheme="minorHAnsi" w:hAnsiTheme="minorHAnsi" w:cstheme="minorHAnsi"/>
          <w:color w:val="0B0C0C"/>
          <w:sz w:val="22"/>
          <w:szCs w:val="22"/>
        </w:rPr>
        <w:t xml:space="preserve">to infer if pneumonia has a COVID, viral or bacterial cause. Treat coughs, fever and breathlessness related to COVID in line with </w:t>
      </w:r>
      <w:hyperlink r:id="rId14" w:history="1">
        <w:r w:rsidRPr="00F7380D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clinical guidance</w:t>
        </w:r>
      </w:hyperlink>
      <w:r w:rsidRPr="00F7380D">
        <w:rPr>
          <w:rFonts w:asciiTheme="minorHAnsi" w:hAnsiTheme="minorHAnsi" w:cstheme="minorHAnsi"/>
          <w:color w:val="0B0C0C"/>
          <w:sz w:val="22"/>
          <w:szCs w:val="22"/>
        </w:rPr>
        <w:t xml:space="preserve">, not with antibiotics – </w:t>
      </w:r>
      <w:r w:rsidR="00196C9C" w:rsidRPr="00F7380D">
        <w:rPr>
          <w:rFonts w:asciiTheme="minorHAnsi" w:hAnsiTheme="minorHAnsi" w:cstheme="minorHAnsi"/>
          <w:color w:val="0B0C0C"/>
          <w:sz w:val="22"/>
          <w:szCs w:val="22"/>
        </w:rPr>
        <w:t>please consider appropriate pathways for diagnosis, testing and clinical management</w:t>
      </w:r>
      <w:r w:rsidR="00AF1DCA">
        <w:rPr>
          <w:rFonts w:asciiTheme="minorHAnsi" w:hAnsiTheme="minorHAnsi" w:cstheme="minorHAnsi"/>
          <w:color w:val="0B0C0C"/>
          <w:sz w:val="22"/>
          <w:szCs w:val="22"/>
        </w:rPr>
        <w:t xml:space="preserve"> </w:t>
      </w:r>
      <w:r w:rsidR="00AF1DCA" w:rsidRPr="00AF1DCA">
        <w:rPr>
          <w:rFonts w:asciiTheme="minorHAnsi" w:hAnsiTheme="minorHAnsi" w:cstheme="minorHAnsi"/>
          <w:color w:val="0B0C0C"/>
          <w:sz w:val="22"/>
          <w:szCs w:val="22"/>
          <w:vertAlign w:val="subscript"/>
        </w:rPr>
        <w:t>(1)</w:t>
      </w:r>
    </w:p>
    <w:p w14:paraId="1787FABC" w14:textId="1A3E479A" w:rsidR="00F7380D" w:rsidRPr="00F7380D" w:rsidRDefault="00F7380D" w:rsidP="00F7380D">
      <w:pPr>
        <w:numPr>
          <w:ilvl w:val="0"/>
          <w:numId w:val="7"/>
        </w:numPr>
        <w:shd w:val="clear" w:color="auto" w:fill="FFFFFF"/>
        <w:spacing w:after="75" w:line="240" w:lineRule="auto"/>
        <w:rPr>
          <w:rFonts w:asciiTheme="minorHAnsi" w:hAnsiTheme="minorHAnsi" w:cstheme="minorHAnsi"/>
          <w:color w:val="0B0C0C"/>
          <w:sz w:val="22"/>
          <w:szCs w:val="22"/>
        </w:rPr>
      </w:pPr>
      <w:r>
        <w:rPr>
          <w:rFonts w:asciiTheme="minorHAnsi" w:hAnsiTheme="minorHAnsi" w:cstheme="minorHAnsi"/>
          <w:color w:val="0B0C0C"/>
          <w:sz w:val="22"/>
          <w:szCs w:val="22"/>
        </w:rPr>
        <w:t>E</w:t>
      </w:r>
      <w:r w:rsidRPr="00CB3F6B">
        <w:rPr>
          <w:rFonts w:asciiTheme="minorHAnsi" w:hAnsiTheme="minorHAnsi" w:cstheme="minorHAnsi"/>
          <w:color w:val="0B0C0C"/>
          <w:sz w:val="22"/>
          <w:szCs w:val="22"/>
        </w:rPr>
        <w:t xml:space="preserve">xplain to patients that antibiotics do not prevent or treat viral infections – antibiotics can cause side-effects, including nausea and diarrhoea; their use can also increase the risk of spreading infections that are caused by bacteria resistant to </w:t>
      </w:r>
      <w:r w:rsidR="00AF1DCA" w:rsidRPr="00CB3F6B">
        <w:rPr>
          <w:rFonts w:asciiTheme="minorHAnsi" w:hAnsiTheme="minorHAnsi" w:cstheme="minorHAnsi"/>
          <w:color w:val="0B0C0C"/>
          <w:sz w:val="22"/>
          <w:szCs w:val="22"/>
        </w:rPr>
        <w:t>antibiotics</w:t>
      </w:r>
      <w:r w:rsidR="00AF1DCA">
        <w:rPr>
          <w:rFonts w:asciiTheme="minorHAnsi" w:hAnsiTheme="minorHAnsi" w:cstheme="minorHAnsi"/>
          <w:color w:val="0B0C0C"/>
          <w:sz w:val="22"/>
          <w:szCs w:val="22"/>
        </w:rPr>
        <w:t>.</w:t>
      </w:r>
      <w:r w:rsidR="00AF1DCA">
        <w:rPr>
          <w:rFonts w:asciiTheme="minorHAnsi" w:hAnsiTheme="minorHAnsi" w:cstheme="minorHAnsi"/>
          <w:color w:val="0B0C0C"/>
          <w:sz w:val="22"/>
          <w:szCs w:val="22"/>
          <w:vertAlign w:val="subscript"/>
        </w:rPr>
        <w:t xml:space="preserve"> (1)</w:t>
      </w:r>
    </w:p>
    <w:p w14:paraId="2EE5B9AB" w14:textId="1D6F50D1" w:rsidR="00AF1DCA" w:rsidRPr="00D93E57" w:rsidRDefault="00CB3F6B" w:rsidP="00AF1DCA">
      <w:pPr>
        <w:pStyle w:val="NoSpacing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AF1DCA">
        <w:rPr>
          <w:rFonts w:asciiTheme="minorHAnsi" w:hAnsiTheme="minorHAnsi" w:cstheme="minorHAnsi"/>
          <w:sz w:val="22"/>
          <w:szCs w:val="22"/>
        </w:rPr>
        <w:t>Encourage patients</w:t>
      </w:r>
      <w:r w:rsidR="00A12749" w:rsidRPr="00AF1DCA">
        <w:rPr>
          <w:rFonts w:asciiTheme="minorHAnsi" w:hAnsiTheme="minorHAnsi" w:cstheme="minorHAnsi"/>
          <w:sz w:val="22"/>
          <w:szCs w:val="22"/>
        </w:rPr>
        <w:t>, relatives or carers</w:t>
      </w:r>
      <w:r w:rsidRPr="00AF1DCA">
        <w:rPr>
          <w:rFonts w:asciiTheme="minorHAnsi" w:hAnsiTheme="minorHAnsi" w:cstheme="minorHAnsi"/>
          <w:sz w:val="22"/>
          <w:szCs w:val="22"/>
        </w:rPr>
        <w:t xml:space="preserve"> to return </w:t>
      </w:r>
      <w:hyperlink r:id="rId15" w:history="1">
        <w:r w:rsidR="00196C9C" w:rsidRPr="00AF1DC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unwanted</w:t>
        </w:r>
      </w:hyperlink>
      <w:r w:rsidRPr="00AF1DCA">
        <w:rPr>
          <w:rFonts w:asciiTheme="minorHAnsi" w:hAnsiTheme="minorHAnsi" w:cstheme="minorHAnsi"/>
          <w:sz w:val="22"/>
          <w:szCs w:val="22"/>
        </w:rPr>
        <w:t xml:space="preserve"> </w:t>
      </w:r>
      <w:r w:rsidR="00196C9C" w:rsidRPr="00AF1DCA">
        <w:rPr>
          <w:rFonts w:asciiTheme="minorHAnsi" w:hAnsiTheme="minorHAnsi" w:cstheme="minorHAnsi"/>
          <w:sz w:val="22"/>
          <w:szCs w:val="22"/>
        </w:rPr>
        <w:t xml:space="preserve">oral and topical </w:t>
      </w:r>
      <w:r w:rsidRPr="00AF1DCA">
        <w:rPr>
          <w:rFonts w:asciiTheme="minorHAnsi" w:hAnsiTheme="minorHAnsi" w:cstheme="minorHAnsi"/>
          <w:sz w:val="22"/>
          <w:szCs w:val="22"/>
        </w:rPr>
        <w:t xml:space="preserve">antimicrobial medication to </w:t>
      </w:r>
      <w:r w:rsidR="00A12749" w:rsidRPr="00AF1DCA">
        <w:rPr>
          <w:rFonts w:asciiTheme="minorHAnsi" w:hAnsiTheme="minorHAnsi" w:cstheme="minorHAnsi"/>
          <w:sz w:val="22"/>
          <w:szCs w:val="22"/>
        </w:rPr>
        <w:t>a community</w:t>
      </w:r>
      <w:r w:rsidRPr="00AF1DCA">
        <w:rPr>
          <w:rFonts w:asciiTheme="minorHAnsi" w:hAnsiTheme="minorHAnsi" w:cstheme="minorHAnsi"/>
          <w:sz w:val="22"/>
          <w:szCs w:val="22"/>
        </w:rPr>
        <w:t xml:space="preserve"> pharmacy </w:t>
      </w:r>
      <w:r w:rsidR="00196C9C" w:rsidRPr="00AF1DCA">
        <w:rPr>
          <w:rFonts w:asciiTheme="minorHAnsi" w:hAnsiTheme="minorHAnsi" w:cstheme="minorHAnsi"/>
          <w:sz w:val="22"/>
          <w:szCs w:val="22"/>
        </w:rPr>
        <w:t xml:space="preserve">in the original packaging </w:t>
      </w:r>
      <w:r w:rsidRPr="00AF1DCA">
        <w:rPr>
          <w:rFonts w:asciiTheme="minorHAnsi" w:hAnsiTheme="minorHAnsi" w:cstheme="minorHAnsi"/>
          <w:sz w:val="22"/>
          <w:szCs w:val="22"/>
        </w:rPr>
        <w:t>for safe disposal and NOT to</w:t>
      </w:r>
      <w:r w:rsidR="00196C9C" w:rsidRPr="00AF1DCA">
        <w:rPr>
          <w:rFonts w:asciiTheme="minorHAnsi" w:hAnsiTheme="minorHAnsi" w:cstheme="minorHAnsi"/>
          <w:sz w:val="22"/>
          <w:szCs w:val="22"/>
        </w:rPr>
        <w:t xml:space="preserve"> throw them in the bin,</w:t>
      </w:r>
      <w:r w:rsidRPr="00AF1DCA">
        <w:rPr>
          <w:rFonts w:asciiTheme="minorHAnsi" w:hAnsiTheme="minorHAnsi" w:cstheme="minorHAnsi"/>
          <w:sz w:val="22"/>
          <w:szCs w:val="22"/>
        </w:rPr>
        <w:t xml:space="preserve"> flush them down the toilet OR share with others.</w:t>
      </w:r>
    </w:p>
    <w:p w14:paraId="4B017721" w14:textId="77777777" w:rsidR="00CD5D3A" w:rsidRDefault="00CD5D3A" w:rsidP="00CD5D3A">
      <w:pPr>
        <w:pStyle w:val="NoSpacing"/>
      </w:pPr>
    </w:p>
    <w:p w14:paraId="6E76B8AE" w14:textId="7189B569" w:rsidR="00D93E57" w:rsidRPr="00D93E57" w:rsidRDefault="00F7380D" w:rsidP="00800AE9">
      <w:pPr>
        <w:shd w:val="clear" w:color="auto" w:fill="FFFFFF"/>
        <w:spacing w:before="300" w:after="300" w:line="240" w:lineRule="auto"/>
        <w:jc w:val="center"/>
      </w:pPr>
      <w:r w:rsidRPr="00800AE9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</w:rPr>
        <w:t xml:space="preserve">For information about WAAW resources see: </w:t>
      </w:r>
      <w:hyperlink r:id="rId16" w:history="1">
        <w:r w:rsidR="00AF1DCA" w:rsidRPr="00800AE9">
          <w:rPr>
            <w:b/>
            <w:bCs/>
            <w:color w:val="2F5496" w:themeColor="accent1" w:themeShade="BF"/>
          </w:rPr>
          <w:t xml:space="preserve"> </w:t>
        </w:r>
        <w:r w:rsidR="00AF1DCA" w:rsidRPr="00800AE9">
          <w:rPr>
            <w:rFonts w:asciiTheme="minorHAnsi" w:hAnsiTheme="minorHAnsi" w:cstheme="minorHAnsi"/>
            <w:b/>
            <w:bCs/>
            <w:color w:val="2F5496" w:themeColor="accent1" w:themeShade="BF"/>
            <w:sz w:val="22"/>
            <w:szCs w:val="22"/>
            <w:u w:val="single"/>
          </w:rPr>
          <w:t>WHO World AMR Awareness Week 2023</w:t>
        </w:r>
      </w:hyperlink>
      <w:r>
        <w:t xml:space="preserve"> </w:t>
      </w:r>
      <w:r w:rsidRPr="00800AE9">
        <w:rPr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</w:rPr>
        <w:t xml:space="preserve">including the WAAW global colour campaign: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Go Blue for AMR</w:t>
      </w:r>
      <w:r w:rsidR="00AF1DCA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 </w:t>
      </w:r>
      <w:r w:rsidR="00AF1DCA" w:rsidRPr="00AF1DCA">
        <w:rPr>
          <w:rFonts w:asciiTheme="minorHAnsi" w:hAnsiTheme="minorHAnsi" w:cstheme="minorHAnsi"/>
          <w:b/>
          <w:bCs/>
          <w:sz w:val="22"/>
          <w:szCs w:val="22"/>
        </w:rPr>
        <w:t xml:space="preserve">and </w:t>
      </w:r>
      <w:hyperlink r:id="rId17" w:history="1">
        <w:r w:rsidR="00D93E57" w:rsidRPr="00800AE9">
          <w:rPr>
            <w:rFonts w:asciiTheme="minorHAnsi" w:hAnsiTheme="minorHAnsi" w:cstheme="minorHAnsi"/>
            <w:b/>
            <w:bCs/>
            <w:color w:val="2F5496" w:themeColor="accent1" w:themeShade="BF"/>
            <w:sz w:val="22"/>
            <w:szCs w:val="22"/>
            <w:u w:val="single"/>
          </w:rPr>
          <w:t xml:space="preserve">UKHSA AMR awareness toolkit </w:t>
        </w:r>
      </w:hyperlink>
    </w:p>
    <w:p w14:paraId="637A2052" w14:textId="77777777" w:rsidR="00D93E57" w:rsidRDefault="00D93E57" w:rsidP="00D93E57">
      <w:pPr>
        <w:pStyle w:val="Heading1"/>
        <w:shd w:val="clear" w:color="auto" w:fill="FFFFFF"/>
        <w:spacing w:before="0"/>
        <w:rPr>
          <w:rFonts w:asciiTheme="minorHAnsi" w:hAnsiTheme="minorHAnsi" w:cstheme="minorHAnsi"/>
          <w:color w:val="auto"/>
          <w:sz w:val="18"/>
          <w:szCs w:val="18"/>
        </w:rPr>
      </w:pPr>
      <w:r w:rsidRPr="00D93E57">
        <w:rPr>
          <w:rFonts w:asciiTheme="minorHAnsi" w:hAnsiTheme="minorHAnsi" w:cstheme="minorHAnsi"/>
          <w:b/>
          <w:bCs/>
          <w:color w:val="auto"/>
          <w:sz w:val="18"/>
          <w:szCs w:val="18"/>
        </w:rPr>
        <w:t>References</w:t>
      </w:r>
      <w:r w:rsidRPr="00D93E57">
        <w:rPr>
          <w:rFonts w:asciiTheme="minorHAnsi" w:hAnsiTheme="minorHAnsi" w:cstheme="minorHAnsi"/>
          <w:color w:val="auto"/>
          <w:sz w:val="18"/>
          <w:szCs w:val="18"/>
        </w:rPr>
        <w:t xml:space="preserve">: </w:t>
      </w:r>
    </w:p>
    <w:p w14:paraId="673ECBC0" w14:textId="4FF0444F" w:rsidR="00800AE9" w:rsidRPr="00800AE9" w:rsidRDefault="00D93E57" w:rsidP="00800AE9">
      <w:pPr>
        <w:pStyle w:val="Heading1"/>
        <w:numPr>
          <w:ilvl w:val="0"/>
          <w:numId w:val="9"/>
        </w:numPr>
        <w:shd w:val="clear" w:color="auto" w:fill="FFFFFF"/>
        <w:spacing w:before="0"/>
        <w:rPr>
          <w:rFonts w:asciiTheme="minorHAnsi" w:eastAsia="Times New Roman" w:hAnsiTheme="minorHAnsi" w:cstheme="minorHAnsi"/>
          <w:color w:val="auto"/>
          <w:kern w:val="36"/>
          <w:sz w:val="18"/>
          <w:szCs w:val="18"/>
        </w:rPr>
      </w:pPr>
      <w:r w:rsidRPr="00D93E57">
        <w:rPr>
          <w:rFonts w:asciiTheme="minorHAnsi" w:hAnsiTheme="minorHAnsi" w:cstheme="minorHAnsi"/>
          <w:color w:val="auto"/>
          <w:sz w:val="18"/>
          <w:szCs w:val="18"/>
        </w:rPr>
        <w:t>UKHSA</w:t>
      </w:r>
      <w:r w:rsidRPr="00D93E57">
        <w:rPr>
          <w:color w:val="auto"/>
          <w:sz w:val="18"/>
          <w:szCs w:val="18"/>
        </w:rPr>
        <w:t xml:space="preserve">. </w:t>
      </w:r>
      <w:r w:rsidRPr="00D93E57">
        <w:rPr>
          <w:rFonts w:asciiTheme="minorHAnsi" w:eastAsia="Times New Roman" w:hAnsiTheme="minorHAnsi" w:cstheme="minorHAnsi"/>
          <w:color w:val="auto"/>
          <w:kern w:val="36"/>
          <w:sz w:val="18"/>
          <w:szCs w:val="18"/>
        </w:rPr>
        <w:t>Antimicrobial resistance awareness: toolkit for healthcare providers. 12</w:t>
      </w:r>
      <w:r w:rsidRPr="00D93E57">
        <w:rPr>
          <w:rFonts w:asciiTheme="minorHAnsi" w:eastAsia="Times New Roman" w:hAnsiTheme="minorHAnsi" w:cstheme="minorHAnsi"/>
          <w:color w:val="auto"/>
          <w:kern w:val="36"/>
          <w:sz w:val="18"/>
          <w:szCs w:val="18"/>
          <w:vertAlign w:val="superscript"/>
        </w:rPr>
        <w:t>th</w:t>
      </w:r>
      <w:r w:rsidRPr="00D93E57">
        <w:rPr>
          <w:rFonts w:asciiTheme="minorHAnsi" w:eastAsia="Times New Roman" w:hAnsiTheme="minorHAnsi" w:cstheme="minorHAnsi"/>
          <w:color w:val="auto"/>
          <w:kern w:val="36"/>
          <w:sz w:val="18"/>
          <w:szCs w:val="18"/>
        </w:rPr>
        <w:t xml:space="preserve"> October 2023</w:t>
      </w:r>
    </w:p>
    <w:p w14:paraId="5842110B" w14:textId="77777777" w:rsidR="00CB3F6B" w:rsidRPr="00C446FA" w:rsidRDefault="00CB3F6B" w:rsidP="00CB3F6B">
      <w:pPr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  <w:u w:val="single"/>
          <w:lang w:eastAsia="en-US"/>
        </w:rPr>
      </w:pPr>
    </w:p>
    <w:sectPr w:rsidR="00CB3F6B" w:rsidRPr="00C446FA" w:rsidSect="00F570BF">
      <w:headerReference w:type="default" r:id="rId18"/>
      <w:footerReference w:type="default" r:id="rId19"/>
      <w:pgSz w:w="11906" w:h="16838"/>
      <w:pgMar w:top="1440" w:right="1080" w:bottom="1440" w:left="108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1C3D" w14:textId="77777777" w:rsidR="00187120" w:rsidRDefault="00187120">
      <w:pPr>
        <w:spacing w:after="0" w:line="240" w:lineRule="auto"/>
      </w:pPr>
      <w:r>
        <w:separator/>
      </w:r>
    </w:p>
  </w:endnote>
  <w:endnote w:type="continuationSeparator" w:id="0">
    <w:p w14:paraId="50FC5600" w14:textId="77777777" w:rsidR="00187120" w:rsidRDefault="00187120">
      <w:pPr>
        <w:spacing w:after="0" w:line="240" w:lineRule="auto"/>
      </w:pPr>
      <w:r>
        <w:continuationSeparator/>
      </w:r>
    </w:p>
  </w:endnote>
  <w:endnote w:type="continuationNotice" w:id="1">
    <w:p w14:paraId="623869F3" w14:textId="77777777" w:rsidR="00187120" w:rsidRDefault="00187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9E59" w14:textId="77777777" w:rsidR="00800AE9" w:rsidRDefault="00C446FA" w:rsidP="00800AE9">
    <w:pPr>
      <w:jc w:val="center"/>
      <w:rPr>
        <w:rFonts w:ascii="Arial" w:eastAsiaTheme="minorEastAsia" w:hAnsi="Arial" w:cs="Arial"/>
        <w:b/>
        <w:bCs/>
        <w:sz w:val="16"/>
        <w:szCs w:val="16"/>
        <w:lang w:eastAsia="en-US"/>
      </w:rPr>
    </w:pPr>
    <w:r w:rsidRPr="5CA15469">
      <w:rPr>
        <w:rFonts w:ascii="Arial" w:eastAsiaTheme="minorEastAsia" w:hAnsi="Arial" w:cs="Arial"/>
        <w:b/>
        <w:bCs/>
        <w:sz w:val="16"/>
        <w:szCs w:val="16"/>
        <w:lang w:eastAsia="en-US"/>
      </w:rPr>
      <w:t>To contact the Medicines Optimisation Team please phone 01772 214302</w:t>
    </w:r>
    <w:r w:rsidR="00800AE9">
      <w:rPr>
        <w:rFonts w:ascii="Arial" w:eastAsiaTheme="minorEastAsia" w:hAnsi="Arial" w:cs="Arial"/>
        <w:b/>
        <w:bCs/>
        <w:sz w:val="16"/>
        <w:szCs w:val="16"/>
        <w:lang w:eastAsia="en-US"/>
      </w:rPr>
      <w:t xml:space="preserve"> </w:t>
    </w:r>
  </w:p>
  <w:p w14:paraId="573F9C66" w14:textId="28A9EE71" w:rsidR="00C446FA" w:rsidRPr="00800AE9" w:rsidRDefault="00C446FA" w:rsidP="001C5ED5">
    <w:pPr>
      <w:jc w:val="center"/>
      <w:rPr>
        <w:rFonts w:ascii="Arial" w:eastAsiaTheme="minorEastAsia" w:hAnsi="Arial" w:cs="Arial"/>
        <w:b/>
        <w:bCs/>
        <w:sz w:val="16"/>
        <w:szCs w:val="16"/>
        <w:lang w:eastAsia="en-US"/>
      </w:rPr>
    </w:pPr>
    <w:r w:rsidRPr="00C446FA">
      <w:rPr>
        <w:rFonts w:asciiTheme="minorHAnsi" w:eastAsiaTheme="minorHAnsi" w:hAnsiTheme="minorHAnsi" w:cstheme="minorHAnsi"/>
        <w:b/>
        <w:sz w:val="16"/>
        <w:szCs w:val="16"/>
        <w:lang w:eastAsia="en-US"/>
      </w:rPr>
      <w:t xml:space="preserve">If you have any suggestions for future topics to cover in our prescribing </w:t>
    </w:r>
    <w:proofErr w:type="gramStart"/>
    <w:r w:rsidRPr="00C446FA">
      <w:rPr>
        <w:rFonts w:asciiTheme="minorHAnsi" w:eastAsiaTheme="minorHAnsi" w:hAnsiTheme="minorHAnsi" w:cstheme="minorHAnsi"/>
        <w:b/>
        <w:sz w:val="16"/>
        <w:szCs w:val="16"/>
        <w:lang w:eastAsia="en-US"/>
      </w:rPr>
      <w:t>tips</w:t>
    </w:r>
    <w:proofErr w:type="gramEnd"/>
    <w:r w:rsidRPr="00C446FA">
      <w:rPr>
        <w:rFonts w:asciiTheme="minorHAnsi" w:eastAsiaTheme="minorHAnsi" w:hAnsiTheme="minorHAnsi" w:cstheme="minorHAnsi"/>
        <w:b/>
        <w:sz w:val="16"/>
        <w:szCs w:val="16"/>
        <w:lang w:eastAsia="en-US"/>
      </w:rPr>
      <w:t xml:space="preserve"> please contact </w:t>
    </w:r>
    <w:hyperlink r:id="rId1" w:history="1">
      <w:r w:rsidRPr="00883A93">
        <w:rPr>
          <w:rStyle w:val="Hyperlink"/>
          <w:rFonts w:asciiTheme="minorHAnsi" w:eastAsiaTheme="minorHAnsi" w:hAnsiTheme="minorHAnsi" w:cstheme="minorHAnsi"/>
          <w:b/>
          <w:sz w:val="16"/>
          <w:szCs w:val="16"/>
          <w:lang w:eastAsia="en-US"/>
        </w:rPr>
        <w:t>Nicola.schaffel@nhs.net</w:t>
      </w:r>
    </w:hyperlink>
    <w:r w:rsidR="001C5ED5">
      <w:rPr>
        <w:rStyle w:val="Hyperlink"/>
        <w:rFonts w:ascii="Arial" w:eastAsiaTheme="minorEastAsia" w:hAnsi="Arial" w:cs="Arial"/>
        <w:b/>
        <w:bCs/>
        <w:color w:val="auto"/>
        <w:sz w:val="16"/>
        <w:szCs w:val="16"/>
        <w:u w:val="none"/>
        <w:lang w:eastAsia="en-US"/>
      </w:rPr>
      <w:t xml:space="preserve">. </w:t>
    </w:r>
    <w:r w:rsidRPr="008A10D4">
      <w:rPr>
        <w:rStyle w:val="Hyperlink"/>
        <w:rFonts w:asciiTheme="minorHAnsi" w:eastAsiaTheme="minorHAnsi" w:hAnsiTheme="minorHAnsi" w:cstheme="minorHAnsi"/>
        <w:b/>
        <w:color w:val="auto"/>
        <w:sz w:val="16"/>
        <w:szCs w:val="16"/>
        <w:u w:val="none"/>
        <w:lang w:eastAsia="en-US"/>
      </w:rPr>
      <w:t>All content accurate and correct on the date of issue of this tip.</w:t>
    </w:r>
  </w:p>
  <w:p w14:paraId="47255529" w14:textId="77777777" w:rsidR="00C446FA" w:rsidRDefault="00C44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0431" w14:textId="77777777" w:rsidR="00187120" w:rsidRDefault="00187120">
      <w:pPr>
        <w:spacing w:after="0" w:line="240" w:lineRule="auto"/>
      </w:pPr>
      <w:r>
        <w:separator/>
      </w:r>
    </w:p>
  </w:footnote>
  <w:footnote w:type="continuationSeparator" w:id="0">
    <w:p w14:paraId="348D9666" w14:textId="77777777" w:rsidR="00187120" w:rsidRDefault="00187120">
      <w:pPr>
        <w:spacing w:after="0" w:line="240" w:lineRule="auto"/>
      </w:pPr>
      <w:r>
        <w:continuationSeparator/>
      </w:r>
    </w:p>
  </w:footnote>
  <w:footnote w:type="continuationNotice" w:id="1">
    <w:p w14:paraId="5229333B" w14:textId="77777777" w:rsidR="00187120" w:rsidRDefault="001871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6ED" w14:textId="3F0DBDBD" w:rsidR="00305C95" w:rsidRPr="0042428A" w:rsidRDefault="00C001C1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20F48AB" wp14:editId="2FC77747">
          <wp:simplePos x="0" y="0"/>
          <wp:positionH relativeFrom="column">
            <wp:posOffset>4918884</wp:posOffset>
          </wp:positionH>
          <wp:positionV relativeFrom="paragraph">
            <wp:posOffset>-61065</wp:posOffset>
          </wp:positionV>
          <wp:extent cx="1432140" cy="61912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1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1237B03E">
          <wp:simplePos x="0" y="0"/>
          <wp:positionH relativeFrom="column">
            <wp:posOffset>3268701</wp:posOffset>
          </wp:positionH>
          <wp:positionV relativeFrom="paragraph">
            <wp:posOffset>-67466</wp:posOffset>
          </wp:positionV>
          <wp:extent cx="920979" cy="601926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979" cy="601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 w:rsidR="00824F93">
      <w:rPr>
        <w:rFonts w:ascii="Arial" w:hAnsi="Arial" w:cs="Arial"/>
        <w:sz w:val="20"/>
        <w:szCs w:val="20"/>
      </w:rPr>
      <w:t>419</w:t>
    </w:r>
  </w:p>
  <w:p w14:paraId="7CF38347" w14:textId="379A56ED" w:rsidR="00D77402" w:rsidRPr="0042428A" w:rsidRDefault="00305C95" w:rsidP="00622C26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42428A">
      <w:rPr>
        <w:rFonts w:ascii="Arial" w:hAnsi="Arial" w:cs="Arial"/>
        <w:sz w:val="20"/>
        <w:szCs w:val="20"/>
      </w:rPr>
      <w:t xml:space="preserve">Date: </w:t>
    </w:r>
    <w:r w:rsidR="00824F93">
      <w:rPr>
        <w:rFonts w:ascii="Arial" w:hAnsi="Arial" w:cs="Arial"/>
        <w:sz w:val="20"/>
        <w:szCs w:val="20"/>
      </w:rPr>
      <w:t>22</w:t>
    </w:r>
    <w:r w:rsidR="00824F93" w:rsidRPr="00824F93">
      <w:rPr>
        <w:rFonts w:ascii="Arial" w:hAnsi="Arial" w:cs="Arial"/>
        <w:sz w:val="20"/>
        <w:szCs w:val="20"/>
        <w:vertAlign w:val="superscript"/>
      </w:rPr>
      <w:t>nd</w:t>
    </w:r>
    <w:r w:rsidR="00824F93">
      <w:rPr>
        <w:rFonts w:ascii="Arial" w:hAnsi="Arial" w:cs="Arial"/>
        <w:sz w:val="20"/>
        <w:szCs w:val="20"/>
      </w:rPr>
      <w:t xml:space="preserve">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C0675"/>
    <w:multiLevelType w:val="hybridMultilevel"/>
    <w:tmpl w:val="CBFC04B4"/>
    <w:lvl w:ilvl="0" w:tplc="0568D72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26FC7"/>
    <w:multiLevelType w:val="multilevel"/>
    <w:tmpl w:val="F78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A04656"/>
    <w:multiLevelType w:val="hybridMultilevel"/>
    <w:tmpl w:val="A3FA5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448">
    <w:abstractNumId w:val="6"/>
  </w:num>
  <w:num w:numId="2" w16cid:durableId="1267424891">
    <w:abstractNumId w:val="3"/>
  </w:num>
  <w:num w:numId="3" w16cid:durableId="1391272994">
    <w:abstractNumId w:val="4"/>
  </w:num>
  <w:num w:numId="4" w16cid:durableId="1224831107">
    <w:abstractNumId w:val="5"/>
  </w:num>
  <w:num w:numId="5" w16cid:durableId="48652778">
    <w:abstractNumId w:val="0"/>
  </w:num>
  <w:num w:numId="6" w16cid:durableId="378936557">
    <w:abstractNumId w:val="2"/>
  </w:num>
  <w:num w:numId="7" w16cid:durableId="73671581">
    <w:abstractNumId w:val="8"/>
  </w:num>
  <w:num w:numId="8" w16cid:durableId="1789155909">
    <w:abstractNumId w:val="7"/>
  </w:num>
  <w:num w:numId="9" w16cid:durableId="1504708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24900"/>
    <w:rsid w:val="0009011C"/>
    <w:rsid w:val="000B325A"/>
    <w:rsid w:val="000C644F"/>
    <w:rsid w:val="00187120"/>
    <w:rsid w:val="00196C9C"/>
    <w:rsid w:val="001C5ED5"/>
    <w:rsid w:val="00213C61"/>
    <w:rsid w:val="00244F14"/>
    <w:rsid w:val="0024595D"/>
    <w:rsid w:val="00277998"/>
    <w:rsid w:val="002F5C53"/>
    <w:rsid w:val="0030164A"/>
    <w:rsid w:val="0030268F"/>
    <w:rsid w:val="00305C95"/>
    <w:rsid w:val="00327F5B"/>
    <w:rsid w:val="00337571"/>
    <w:rsid w:val="00395C1C"/>
    <w:rsid w:val="0042428A"/>
    <w:rsid w:val="004935FE"/>
    <w:rsid w:val="00585282"/>
    <w:rsid w:val="005971C4"/>
    <w:rsid w:val="005B1FD2"/>
    <w:rsid w:val="005E4EF4"/>
    <w:rsid w:val="0061157D"/>
    <w:rsid w:val="00622C26"/>
    <w:rsid w:val="00625F39"/>
    <w:rsid w:val="00681EB0"/>
    <w:rsid w:val="006B59AD"/>
    <w:rsid w:val="006E5481"/>
    <w:rsid w:val="006F2645"/>
    <w:rsid w:val="00714916"/>
    <w:rsid w:val="00800AE9"/>
    <w:rsid w:val="00824F93"/>
    <w:rsid w:val="008A0AF8"/>
    <w:rsid w:val="008A10D4"/>
    <w:rsid w:val="008A4C51"/>
    <w:rsid w:val="008A5995"/>
    <w:rsid w:val="008B6EB5"/>
    <w:rsid w:val="008C006F"/>
    <w:rsid w:val="008D0DFE"/>
    <w:rsid w:val="008F04B5"/>
    <w:rsid w:val="009E1725"/>
    <w:rsid w:val="00A12749"/>
    <w:rsid w:val="00AF1DCA"/>
    <w:rsid w:val="00AF4895"/>
    <w:rsid w:val="00B22354"/>
    <w:rsid w:val="00B650AF"/>
    <w:rsid w:val="00B76758"/>
    <w:rsid w:val="00C001C1"/>
    <w:rsid w:val="00C00B0D"/>
    <w:rsid w:val="00C25C25"/>
    <w:rsid w:val="00C44128"/>
    <w:rsid w:val="00C446FA"/>
    <w:rsid w:val="00CB3F6B"/>
    <w:rsid w:val="00CD5D3A"/>
    <w:rsid w:val="00D04324"/>
    <w:rsid w:val="00D16374"/>
    <w:rsid w:val="00D20CC0"/>
    <w:rsid w:val="00D63E04"/>
    <w:rsid w:val="00D65615"/>
    <w:rsid w:val="00D77402"/>
    <w:rsid w:val="00D93E57"/>
    <w:rsid w:val="00E270DF"/>
    <w:rsid w:val="00E42C92"/>
    <w:rsid w:val="00E634F5"/>
    <w:rsid w:val="00EC6F98"/>
    <w:rsid w:val="00EE5EE0"/>
    <w:rsid w:val="00F023EB"/>
    <w:rsid w:val="00F04BC9"/>
    <w:rsid w:val="00F21836"/>
    <w:rsid w:val="00F570BF"/>
    <w:rsid w:val="00F57404"/>
    <w:rsid w:val="00F7380D"/>
    <w:rsid w:val="00FA1284"/>
    <w:rsid w:val="00FB0CB5"/>
    <w:rsid w:val="00FB6A86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character" w:customStyle="1" w:styleId="normaltextrun">
    <w:name w:val="normaltextrun"/>
    <w:basedOn w:val="DefaultParagraphFont"/>
    <w:rsid w:val="00D63E04"/>
  </w:style>
  <w:style w:type="paragraph" w:styleId="NoSpacing">
    <w:name w:val="No Spacing"/>
    <w:uiPriority w:val="1"/>
    <w:qFormat/>
    <w:rsid w:val="00D6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63E04"/>
  </w:style>
  <w:style w:type="character" w:customStyle="1" w:styleId="Heading1Char">
    <w:name w:val="Heading 1 Char"/>
    <w:basedOn w:val="DefaultParagraphFont"/>
    <w:link w:val="Heading1"/>
    <w:uiPriority w:val="9"/>
    <w:rsid w:val="00AF1D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e.org.uk/guidance/ng19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nf.org/news/2021/07/29/bnf-hosts-antimicrobial-summary-guidance-on-behalf-of-nice-and-phe/" TargetMode="External"/><Relationship Id="rId17" Type="http://schemas.openxmlformats.org/officeDocument/2006/relationships/hyperlink" Target="https://www.gov.uk/government/publications/european-antibiotic-awareness-day-resources-toolkit-for-healthcare-professionals-in-engla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news-room/events/detail/2023/11/18/default-calendar/world-amr-awareness-week-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ps.nhs.uk/articles/managing-pharmaceutical-waste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ce.org.uk/guidance/ng19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schaffel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ZTN2ZK5Q2N6R-32785368-343346</_dlc_DocId>
    <_dlc_DocIdUrl xmlns="9ecf9374-0d71-4a51-a9c5-198dd68970ed">
      <Url>https://csucloudservices.sharepoint.com/teams/quality/medicine/_layouts/15/DocIdRedir.aspx?ID=ZTN2ZK5Q2N6R-32785368-343346</Url>
      <Description>ZTN2ZK5Q2N6R-32785368-343346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6" ma:contentTypeDescription="Create a new document." ma:contentTypeScope="" ma:versionID="453753b233a39679ebf5750529005a05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de56d48eee1e222e66bc667b538f5031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D8419-B9D0-4428-AFE7-A493662ED5E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68f04dcd-1aad-4718-b4ef-cb5a94bb72b3"/>
    <ds:schemaRef ds:uri="9ecf9374-0d71-4a51-a9c5-198dd68970ed"/>
  </ds:schemaRefs>
</ds:datastoreItem>
</file>

<file path=customXml/itemProps2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8C2BF5-FA8B-42BF-A74B-6378BCB4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Philip Haydock (MLCSU)</cp:lastModifiedBy>
  <cp:revision>2</cp:revision>
  <dcterms:created xsi:type="dcterms:W3CDTF">2023-11-22T11:53:00Z</dcterms:created>
  <dcterms:modified xsi:type="dcterms:W3CDTF">2023-11-22T11:53:00Z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d1562943-d08a-48c0-8bcd-17a6a8d84de7</vt:lpwstr>
  </property>
  <property fmtid="{D5CDD505-2E9C-101B-9397-08002B2CF9AE}" pid="4" name="MediaServiceImageTags">
    <vt:lpwstr/>
  </property>
</Properties>
</file>